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7" w:rsidRDefault="00BE17C7" w:rsidP="00BE17C7">
      <w:pPr>
        <w:pStyle w:val="NormalnyWeb"/>
        <w:pageBreakBefore/>
        <w:spacing w:before="0" w:beforeAutospacing="0" w:after="0" w:line="276" w:lineRule="auto"/>
        <w:jc w:val="right"/>
      </w:pPr>
      <w:r>
        <w:rPr>
          <w:rFonts w:ascii="Calibri" w:hAnsi="Calibri"/>
          <w:b/>
          <w:bCs/>
          <w:spacing w:val="-20"/>
          <w:sz w:val="22"/>
          <w:szCs w:val="22"/>
        </w:rPr>
        <w:t>Załącznik nr 2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right"/>
        <w:rPr>
          <w:spacing w:val="-20"/>
        </w:rPr>
      </w:pPr>
      <w:r>
        <w:rPr>
          <w:rFonts w:ascii="Calibri" w:hAnsi="Calibri"/>
          <w:b/>
          <w:bCs/>
          <w:spacing w:val="-20"/>
          <w:sz w:val="22"/>
          <w:szCs w:val="22"/>
        </w:rPr>
        <w:t>do ogłoszenia o konkursie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right"/>
        <w:rPr>
          <w:spacing w:val="-20"/>
        </w:rPr>
      </w:pPr>
      <w:r>
        <w:rPr>
          <w:rFonts w:ascii="Calibri" w:hAnsi="Calibri"/>
          <w:b/>
          <w:bCs/>
          <w:spacing w:val="-20"/>
          <w:sz w:val="22"/>
          <w:szCs w:val="22"/>
        </w:rPr>
        <w:t>na najem lokali użytkowych</w:t>
      </w:r>
    </w:p>
    <w:p w:rsidR="00BE17C7" w:rsidRDefault="00BE17C7" w:rsidP="00BE17C7">
      <w:pPr>
        <w:pStyle w:val="NormalnyWeb"/>
        <w:spacing w:before="0" w:beforeAutospacing="0" w:after="0" w:line="276" w:lineRule="auto"/>
      </w:pPr>
    </w:p>
    <w:p w:rsidR="00BE17C7" w:rsidRDefault="00BE17C7" w:rsidP="00BE17C7">
      <w:pPr>
        <w:pStyle w:val="NormalnyWeb"/>
        <w:spacing w:before="0" w:beforeAutospacing="0" w:after="0" w:line="276" w:lineRule="auto"/>
      </w:pP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REGULAMIN PRACY KOMISJI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ds. rozpatrywania wniosków o najem lokali użytkowych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§1</w:t>
      </w:r>
    </w:p>
    <w:p w:rsidR="00BE17C7" w:rsidRPr="00BE17C7" w:rsidRDefault="00BE17C7" w:rsidP="00BE17C7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BE17C7">
        <w:rPr>
          <w:rFonts w:asciiTheme="minorHAnsi" w:hAnsiTheme="minorHAnsi"/>
          <w:sz w:val="22"/>
          <w:szCs w:val="22"/>
        </w:rPr>
        <w:t>Posiedzenie Komisji prowadzi Przewodniczący, a w przypadku jego nieobecności wyznaczony przez Przewodniczącego członek Komisji.</w:t>
      </w:r>
    </w:p>
    <w:p w:rsidR="00BE17C7" w:rsidRPr="00BE17C7" w:rsidRDefault="00BE17C7" w:rsidP="00BE17C7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BE17C7">
        <w:rPr>
          <w:rFonts w:asciiTheme="minorHAnsi" w:hAnsiTheme="minorHAnsi"/>
          <w:sz w:val="22"/>
          <w:szCs w:val="22"/>
        </w:rPr>
        <w:t>Komisja obraduje w obecności przynajmniej połowy składu, a członkowie Komisji swoją obecność potwierdzają podpisem na liście obecności.</w:t>
      </w:r>
    </w:p>
    <w:p w:rsidR="00BE17C7" w:rsidRPr="00BE17C7" w:rsidRDefault="00BE17C7" w:rsidP="00BE17C7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BE17C7">
        <w:rPr>
          <w:rFonts w:asciiTheme="minorHAnsi" w:hAnsiTheme="minorHAnsi"/>
          <w:sz w:val="22"/>
          <w:szCs w:val="22"/>
        </w:rPr>
        <w:t xml:space="preserve">Komisja podejmuje </w:t>
      </w:r>
      <w:r w:rsidRPr="00BE17C7">
        <w:rPr>
          <w:rFonts w:asciiTheme="minorHAnsi" w:hAnsiTheme="minorHAnsi"/>
          <w:color w:val="000000"/>
          <w:sz w:val="22"/>
          <w:szCs w:val="22"/>
        </w:rPr>
        <w:t>uchwały</w:t>
      </w:r>
      <w:r w:rsidRPr="00BE17C7">
        <w:rPr>
          <w:rFonts w:asciiTheme="minorHAnsi" w:hAnsiTheme="minorHAnsi"/>
          <w:sz w:val="22"/>
          <w:szCs w:val="22"/>
        </w:rPr>
        <w:t xml:space="preserve"> zwykłą większością głosów w obecności przynajmniej połowy składu. W razie równowagi głosów, decydujący głos należy do Przewodniczącego Komisji, </w:t>
      </w:r>
      <w:r w:rsidRPr="00BE17C7">
        <w:rPr>
          <w:rFonts w:asciiTheme="minorHAnsi" w:hAnsiTheme="minorHAnsi"/>
          <w:sz w:val="22"/>
          <w:szCs w:val="22"/>
        </w:rPr>
        <w:br/>
      </w:r>
      <w:r w:rsidRPr="00BE17C7">
        <w:rPr>
          <w:rFonts w:asciiTheme="minorHAnsi" w:hAnsiTheme="minorHAnsi"/>
          <w:sz w:val="22"/>
          <w:szCs w:val="22"/>
        </w:rPr>
        <w:t>a w przypadku jego nieobecności do wyznaczonego przez Przewodniczącego członka Komisji.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§2</w:t>
      </w:r>
    </w:p>
    <w:p w:rsidR="00BE17C7" w:rsidRDefault="00BE17C7" w:rsidP="00BE17C7">
      <w:pPr>
        <w:pStyle w:val="NormalnyWeb"/>
        <w:numPr>
          <w:ilvl w:val="0"/>
          <w:numId w:val="5"/>
        </w:numPr>
        <w:spacing w:before="0" w:beforeAutospacing="0" w:after="0" w:line="276" w:lineRule="auto"/>
        <w:ind w:left="426"/>
        <w:jc w:val="both"/>
      </w:pPr>
      <w:r>
        <w:rPr>
          <w:rFonts w:ascii="Calibri" w:hAnsi="Calibri"/>
          <w:sz w:val="22"/>
          <w:szCs w:val="22"/>
        </w:rPr>
        <w:t>Organizatorem konkursu jest Powiatowe Centrum Animacji Społecznej.</w:t>
      </w:r>
    </w:p>
    <w:p w:rsidR="00BE17C7" w:rsidRDefault="00BE17C7" w:rsidP="00BE17C7">
      <w:pPr>
        <w:pStyle w:val="NormalnyWeb"/>
        <w:numPr>
          <w:ilvl w:val="0"/>
          <w:numId w:val="5"/>
        </w:numPr>
        <w:spacing w:before="0" w:beforeAutospacing="0" w:after="0" w:line="276" w:lineRule="auto"/>
        <w:ind w:left="426"/>
        <w:jc w:val="both"/>
      </w:pPr>
      <w:r>
        <w:rPr>
          <w:rFonts w:ascii="Calibri" w:hAnsi="Calibri"/>
          <w:sz w:val="22"/>
          <w:szCs w:val="22"/>
        </w:rPr>
        <w:t xml:space="preserve">Konkurs przeprowadzony jest w ramach projektu „Rozwój Potencjału </w:t>
      </w:r>
      <w:r>
        <w:rPr>
          <w:rFonts w:ascii="Calibri" w:hAnsi="Calibri"/>
          <w:sz w:val="22"/>
          <w:szCs w:val="22"/>
        </w:rPr>
        <w:t xml:space="preserve">Społeczno-Gospodarczego Obszaru </w:t>
      </w:r>
      <w:r>
        <w:rPr>
          <w:rFonts w:ascii="Calibri" w:hAnsi="Calibri"/>
          <w:sz w:val="22"/>
          <w:szCs w:val="22"/>
        </w:rPr>
        <w:t xml:space="preserve">Rewitalizowanego przy ulicy Farbiarskiej w Tomaszowie Mazowieckim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poprzez utworzenie Centrum Animacji Społecznej”.</w:t>
      </w:r>
    </w:p>
    <w:p w:rsidR="00BE17C7" w:rsidRDefault="00BE17C7" w:rsidP="00BE17C7">
      <w:pPr>
        <w:pStyle w:val="NormalnyWeb"/>
        <w:numPr>
          <w:ilvl w:val="0"/>
          <w:numId w:val="5"/>
        </w:numPr>
        <w:spacing w:before="0" w:beforeAutospacing="0" w:after="0" w:line="276" w:lineRule="auto"/>
        <w:ind w:left="426"/>
        <w:jc w:val="both"/>
      </w:pPr>
      <w:r>
        <w:rPr>
          <w:rFonts w:ascii="Calibri" w:hAnsi="Calibri"/>
          <w:sz w:val="22"/>
          <w:szCs w:val="22"/>
        </w:rPr>
        <w:t xml:space="preserve">Konkurs przeprowadzany jest w sposób przejrzysty, rzetelny i bezstronny oraz z zapewnieniem Wnioskodawcom równego dostępu do informacji o warunkach i sposobie wyboru projektów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dofinansowania.</w:t>
      </w:r>
    </w:p>
    <w:p w:rsidR="00BE17C7" w:rsidRDefault="00BE17C7" w:rsidP="00BE17C7">
      <w:pPr>
        <w:pStyle w:val="NormalnyWeb"/>
        <w:numPr>
          <w:ilvl w:val="0"/>
          <w:numId w:val="5"/>
        </w:numPr>
        <w:spacing w:before="0" w:beforeAutospacing="0" w:after="0" w:line="276" w:lineRule="auto"/>
        <w:ind w:left="426"/>
        <w:jc w:val="both"/>
      </w:pPr>
      <w:r w:rsidRPr="00BE17C7">
        <w:rPr>
          <w:rFonts w:ascii="Calibri" w:hAnsi="Calibri"/>
          <w:sz w:val="22"/>
          <w:szCs w:val="22"/>
        </w:rPr>
        <w:t>Konkurs dzieli się na następujące etapy:</w:t>
      </w:r>
    </w:p>
    <w:p w:rsidR="00BE17C7" w:rsidRDefault="00BE17C7" w:rsidP="00BE17C7">
      <w:pPr>
        <w:pStyle w:val="NormalnyWeb"/>
        <w:spacing w:before="0" w:beforeAutospacing="0" w:after="0" w:line="276" w:lineRule="auto"/>
        <w:ind w:left="426"/>
        <w:jc w:val="both"/>
      </w:pPr>
      <w:r>
        <w:t xml:space="preserve">- </w:t>
      </w:r>
      <w:r>
        <w:rPr>
          <w:rFonts w:ascii="Calibri" w:hAnsi="Calibri"/>
          <w:sz w:val="22"/>
          <w:szCs w:val="22"/>
        </w:rPr>
        <w:t>ocenę formalną,</w:t>
      </w:r>
    </w:p>
    <w:p w:rsidR="00BE17C7" w:rsidRDefault="00BE17C7" w:rsidP="00BE17C7">
      <w:pPr>
        <w:pStyle w:val="NormalnyWeb"/>
        <w:spacing w:before="0" w:beforeAutospacing="0" w:after="0" w:line="276" w:lineRule="auto"/>
        <w:ind w:left="426"/>
        <w:jc w:val="both"/>
      </w:pPr>
      <w:r>
        <w:t xml:space="preserve">- </w:t>
      </w:r>
      <w:r>
        <w:rPr>
          <w:rFonts w:ascii="Calibri" w:hAnsi="Calibri"/>
          <w:sz w:val="22"/>
          <w:szCs w:val="22"/>
        </w:rPr>
        <w:t>ocenę merytoryczną,</w:t>
      </w:r>
    </w:p>
    <w:p w:rsidR="00BE17C7" w:rsidRDefault="00BE17C7" w:rsidP="00BE17C7">
      <w:pPr>
        <w:pStyle w:val="NormalnyWeb"/>
        <w:spacing w:before="0" w:beforeAutospacing="0" w:after="0" w:line="276" w:lineRule="auto"/>
        <w:ind w:left="426"/>
        <w:jc w:val="both"/>
      </w:pPr>
      <w:r>
        <w:t xml:space="preserve">- </w:t>
      </w:r>
      <w:r>
        <w:rPr>
          <w:rFonts w:ascii="Calibri" w:hAnsi="Calibri"/>
          <w:sz w:val="22"/>
          <w:szCs w:val="22"/>
        </w:rPr>
        <w:t>informację o wyborze projektów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BE17C7" w:rsidRDefault="00BE17C7" w:rsidP="00BE17C7">
      <w:pPr>
        <w:pStyle w:val="NormalnyWeb"/>
        <w:numPr>
          <w:ilvl w:val="0"/>
          <w:numId w:val="5"/>
        </w:numPr>
        <w:spacing w:before="0" w:beforeAutospacing="0" w:after="0" w:line="276" w:lineRule="auto"/>
        <w:ind w:left="426"/>
        <w:jc w:val="both"/>
      </w:pPr>
      <w:r>
        <w:rPr>
          <w:rFonts w:ascii="Calibri" w:hAnsi="Calibri"/>
          <w:sz w:val="22"/>
          <w:szCs w:val="22"/>
        </w:rPr>
        <w:t>Ocena formalna dokonywana jest na podstawie karty oceny formalnej.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§3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both"/>
      </w:pPr>
      <w:r>
        <w:rPr>
          <w:rFonts w:ascii="Calibri" w:hAnsi="Calibri"/>
          <w:sz w:val="22"/>
          <w:szCs w:val="22"/>
        </w:rPr>
        <w:t>Wnioski pozytywnie ocenione pod względem formalnym podlegają ocenie pod względem merytorycznym.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</w:p>
    <w:p w:rsidR="00BE17C7" w:rsidRDefault="00BE17C7" w:rsidP="00BE17C7">
      <w:pPr>
        <w:pStyle w:val="NormalnyWeb"/>
        <w:spacing w:before="0" w:beforeAutospacing="0" w:after="0" w:line="276" w:lineRule="auto"/>
        <w:ind w:left="284" w:hanging="284"/>
        <w:jc w:val="center"/>
      </w:pPr>
      <w:r>
        <w:rPr>
          <w:rFonts w:ascii="Calibri" w:hAnsi="Calibri"/>
          <w:b/>
          <w:bCs/>
          <w:sz w:val="22"/>
          <w:szCs w:val="22"/>
        </w:rPr>
        <w:t>§4</w:t>
      </w:r>
    </w:p>
    <w:p w:rsidR="00BE17C7" w:rsidRDefault="00BE17C7" w:rsidP="00BE17C7">
      <w:pPr>
        <w:pStyle w:val="NormalnyWeb"/>
        <w:numPr>
          <w:ilvl w:val="0"/>
          <w:numId w:val="10"/>
        </w:numPr>
        <w:spacing w:before="0" w:beforeAutospacing="0" w:after="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E17C7">
        <w:rPr>
          <w:rFonts w:asciiTheme="minorHAnsi" w:hAnsiTheme="minorHAnsi"/>
          <w:sz w:val="22"/>
          <w:szCs w:val="22"/>
        </w:rPr>
        <w:t>Komisja dokonuje oceny merytorycznej wniosków na pods</w:t>
      </w:r>
      <w:r>
        <w:rPr>
          <w:rFonts w:asciiTheme="minorHAnsi" w:hAnsiTheme="minorHAnsi"/>
          <w:sz w:val="22"/>
          <w:szCs w:val="22"/>
        </w:rPr>
        <w:t>tawie karty oceny merytorycznej</w:t>
      </w:r>
    </w:p>
    <w:p w:rsidR="00BE17C7" w:rsidRPr="00BE17C7" w:rsidRDefault="00BE17C7" w:rsidP="00BE17C7">
      <w:pPr>
        <w:pStyle w:val="NormalnyWeb"/>
        <w:spacing w:before="0" w:beforeAutospacing="0" w:after="0" w:line="276" w:lineRule="auto"/>
        <w:ind w:left="284" w:hanging="284"/>
        <w:jc w:val="both"/>
      </w:pPr>
      <w:r w:rsidRPr="00BE17C7">
        <w:rPr>
          <w:rFonts w:asciiTheme="minorHAnsi" w:hAnsiTheme="minorHAnsi"/>
          <w:sz w:val="22"/>
          <w:szCs w:val="22"/>
        </w:rPr>
        <w:t>uwzględniając następujące kryteria i punktację:</w:t>
      </w:r>
    </w:p>
    <w:p w:rsidR="00BE17C7" w:rsidRDefault="00BE17C7" w:rsidP="00BE17C7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t>- d</w:t>
      </w:r>
      <w:r w:rsidRPr="00BE17C7">
        <w:rPr>
          <w:rFonts w:ascii="Calibri" w:hAnsi="Calibri"/>
          <w:sz w:val="22"/>
          <w:szCs w:val="22"/>
        </w:rPr>
        <w:t>oświadczenie Wnioskodawcy – 0-6 pkt;</w:t>
      </w:r>
    </w:p>
    <w:p w:rsidR="00BE17C7" w:rsidRDefault="00BE17C7" w:rsidP="00BE17C7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t>- o</w:t>
      </w:r>
      <w:r>
        <w:rPr>
          <w:rFonts w:ascii="Calibri" w:hAnsi="Calibri"/>
          <w:sz w:val="22"/>
          <w:szCs w:val="22"/>
        </w:rPr>
        <w:t>cena koncepcji zagospodarowania lokalu – 0-24 pkt;</w:t>
      </w:r>
    </w:p>
    <w:p w:rsidR="00BE17C7" w:rsidRDefault="00BE17C7" w:rsidP="00BE17C7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t>- p</w:t>
      </w:r>
      <w:r>
        <w:rPr>
          <w:rFonts w:ascii="Calibri" w:hAnsi="Calibri"/>
          <w:sz w:val="22"/>
          <w:szCs w:val="22"/>
        </w:rPr>
        <w:t>otencjał Wnioskodawcy do realizacji zadania – 0-12 pkt;</w:t>
      </w:r>
    </w:p>
    <w:p w:rsidR="00BE17C7" w:rsidRDefault="00BE17C7" w:rsidP="00BE17C7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a</w:t>
      </w:r>
      <w:r>
        <w:rPr>
          <w:rFonts w:ascii="Calibri" w:hAnsi="Calibri"/>
          <w:sz w:val="22"/>
          <w:szCs w:val="22"/>
        </w:rPr>
        <w:t>dekwatność harmonogramu i budżetu do działań planowanych na 2020 r. - 0-6 pkt;</w:t>
      </w:r>
    </w:p>
    <w:p w:rsidR="00BE17C7" w:rsidRDefault="00BE17C7" w:rsidP="00BE17C7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u</w:t>
      </w:r>
      <w:r>
        <w:rPr>
          <w:rFonts w:ascii="Calibri" w:hAnsi="Calibri"/>
          <w:sz w:val="22"/>
          <w:szCs w:val="22"/>
        </w:rPr>
        <w:t>zasadnienie potrzeby wynajęcia lokalu – 0-6 pkt.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lastRenderedPageBreak/>
        <w:t>Członkowie Komisji wpisują oceny poszczególnych wniosków do kart indywidualnej oceny wniosku.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Pozytywną ocenę merytoryczną otrzymają wnioski, które uzyskały min</w:t>
      </w:r>
      <w:r w:rsidRPr="00F23190">
        <w:rPr>
          <w:rFonts w:ascii="Calibri" w:hAnsi="Calibri"/>
          <w:color w:val="000000"/>
          <w:sz w:val="22"/>
          <w:szCs w:val="22"/>
        </w:rPr>
        <w:t xml:space="preserve">. 70% </w:t>
      </w:r>
      <w:r w:rsidRPr="00F23190">
        <w:rPr>
          <w:rFonts w:ascii="Calibri" w:hAnsi="Calibri"/>
          <w:sz w:val="22"/>
          <w:szCs w:val="22"/>
        </w:rPr>
        <w:t>maksymalnej liczby punktów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Komisja będzie przyznawać punkty za poszczególne kryteria.</w:t>
      </w:r>
    </w:p>
    <w:p w:rsidR="00F23190" w:rsidRDefault="00BE17C7" w:rsidP="00BE17C7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Komisja tworzy listę wyników konkursu porządkując wnioski według uzyskanych ocen końcowych – od najwyższej do najniższej.</w:t>
      </w:r>
    </w:p>
    <w:p w:rsidR="00F23190" w:rsidRDefault="00F23190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BE17C7" w:rsidRPr="00F23190">
        <w:rPr>
          <w:rFonts w:ascii="Calibri" w:hAnsi="Calibri"/>
          <w:sz w:val="22"/>
          <w:szCs w:val="22"/>
        </w:rPr>
        <w:t xml:space="preserve"> przypadku projektów o jednakowej punktacji o kolejności zamieszczenia na liście decyduje Przewodniczący Komisji.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Komisja może zwracać się do wnioskodawców o wyjaśnienia dotyczące treści wniosku i dołączonych załączników (m.in. uszczegółowienie informacji na temat działań przedstawionych we wniosku).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 xml:space="preserve">Wezwanie do wyjaśnienia, podpisane przez Przewodniczącego Komisji lub jego zastępcę, kierowane jest do osoby wskazanej we wniosku jako „osoba upoważniona do składania wyjaśnień i uzupełnień dotyczących wniosku”, wysyłane jest mailem na adres podany we wniosku. </w:t>
      </w:r>
    </w:p>
    <w:p w:rsid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Wnioskodawca składa wyjaśnienia w formie pisemnej w termonie 5 dni roboczych od dnia otrzymania wezwania do wyjaśnień.</w:t>
      </w:r>
    </w:p>
    <w:p w:rsidR="00BE17C7" w:rsidRPr="00F23190" w:rsidRDefault="00BE17C7" w:rsidP="00F23190">
      <w:pPr>
        <w:pStyle w:val="NormalnyWeb"/>
        <w:numPr>
          <w:ilvl w:val="0"/>
          <w:numId w:val="10"/>
        </w:numPr>
        <w:tabs>
          <w:tab w:val="left" w:pos="-2127"/>
        </w:tabs>
        <w:spacing w:before="0" w:beforeAutospacing="0" w:after="0" w:line="276" w:lineRule="auto"/>
        <w:ind w:left="426"/>
        <w:jc w:val="both"/>
        <w:rPr>
          <w:rFonts w:asciiTheme="minorHAnsi" w:hAnsiTheme="minorHAnsi"/>
        </w:rPr>
      </w:pPr>
      <w:r w:rsidRPr="00F23190">
        <w:rPr>
          <w:rFonts w:ascii="Calibri" w:hAnsi="Calibri"/>
          <w:sz w:val="22"/>
          <w:szCs w:val="22"/>
        </w:rPr>
        <w:t>W przypadku, gdy wnioskodawca nie złoży w wyznaczonym terminie, uzupełniony lub skorygowany wniosek, lub wskazany błąd nie zostanie właściwie poprawiony, wniosek uzyskuje negatywną ocenę.</w:t>
      </w:r>
    </w:p>
    <w:p w:rsidR="00BE17C7" w:rsidRDefault="00BE17C7" w:rsidP="00F23190">
      <w:pPr>
        <w:pStyle w:val="NormalnyWeb"/>
        <w:spacing w:before="0" w:beforeAutospacing="0" w:after="0" w:line="276" w:lineRule="auto"/>
        <w:jc w:val="both"/>
      </w:pPr>
      <w:bookmarkStart w:id="0" w:name="_GoBack"/>
      <w:bookmarkEnd w:id="0"/>
    </w:p>
    <w:p w:rsidR="00BE17C7" w:rsidRDefault="00BE17C7" w:rsidP="00F23190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§5</w:t>
      </w:r>
    </w:p>
    <w:p w:rsidR="00BE17C7" w:rsidRDefault="00BE17C7" w:rsidP="00F23190">
      <w:pPr>
        <w:pStyle w:val="NormalnyWeb"/>
        <w:spacing w:before="0" w:beforeAutospacing="0" w:after="0" w:line="276" w:lineRule="auto"/>
        <w:jc w:val="both"/>
      </w:pPr>
      <w:r>
        <w:rPr>
          <w:rFonts w:ascii="Calibri" w:hAnsi="Calibri"/>
          <w:sz w:val="22"/>
          <w:szCs w:val="22"/>
        </w:rPr>
        <w:t>Komisja sporządza protokół, który podpisuje Przewodniczący i wszyscy członkowie Komisji.</w:t>
      </w:r>
    </w:p>
    <w:p w:rsidR="00BE17C7" w:rsidRDefault="00BE17C7" w:rsidP="00F23190">
      <w:pPr>
        <w:pStyle w:val="NormalnyWeb"/>
        <w:spacing w:before="0" w:beforeAutospacing="0" w:after="0" w:line="276" w:lineRule="auto"/>
        <w:jc w:val="both"/>
      </w:pPr>
    </w:p>
    <w:p w:rsidR="00BE17C7" w:rsidRDefault="00BE17C7" w:rsidP="00F23190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§6</w:t>
      </w:r>
    </w:p>
    <w:p w:rsidR="00BE17C7" w:rsidRDefault="00BE17C7" w:rsidP="00F23190">
      <w:pPr>
        <w:pStyle w:val="NormalnyWeb"/>
        <w:spacing w:before="0" w:beforeAutospacing="0" w:after="0" w:line="276" w:lineRule="auto"/>
        <w:jc w:val="both"/>
      </w:pPr>
      <w:r>
        <w:rPr>
          <w:rFonts w:ascii="Calibri" w:hAnsi="Calibri"/>
          <w:sz w:val="22"/>
          <w:szCs w:val="22"/>
        </w:rPr>
        <w:t>Komisja przedstawia listę wyników konkursu do akceptacji Dyrektorowi Powiatowego Centrum Animacji Społecznej w Tomaszowie Mazowieckim.</w:t>
      </w:r>
    </w:p>
    <w:p w:rsidR="00BE17C7" w:rsidRDefault="00BE17C7" w:rsidP="00BE17C7">
      <w:pPr>
        <w:pStyle w:val="NormalnyWeb"/>
        <w:spacing w:before="0" w:beforeAutospacing="0" w:after="0" w:line="276" w:lineRule="auto"/>
        <w:jc w:val="center"/>
      </w:pPr>
    </w:p>
    <w:p w:rsidR="00BE17C7" w:rsidRDefault="00BE17C7" w:rsidP="00F23190">
      <w:pPr>
        <w:pStyle w:val="NormalnyWeb"/>
        <w:spacing w:before="0" w:beforeAutospacing="0" w:after="0"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§ 7</w:t>
      </w:r>
    </w:p>
    <w:p w:rsidR="00BE17C7" w:rsidRDefault="00BE17C7" w:rsidP="00F23190">
      <w:pPr>
        <w:pStyle w:val="NormalnyWeb"/>
        <w:spacing w:before="0" w:beforeAutospacing="0" w:after="0" w:line="276" w:lineRule="auto"/>
        <w:jc w:val="both"/>
      </w:pPr>
      <w:r>
        <w:rPr>
          <w:rFonts w:ascii="Calibri" w:hAnsi="Calibri"/>
          <w:sz w:val="22"/>
          <w:szCs w:val="22"/>
        </w:rPr>
        <w:t xml:space="preserve">Lista wniosków, które spełniły kryteria i uzyskały wymaganą liczbę punktów zostaje zamieszczona </w:t>
      </w:r>
      <w:r w:rsidR="00F231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stronie internetowej w terminie 5 dni od dnia zaakceptowania przez Dyrektora PCAS.</w:t>
      </w:r>
    </w:p>
    <w:p w:rsidR="00BE17C7" w:rsidRDefault="00BE17C7" w:rsidP="00BE17C7">
      <w:pPr>
        <w:pStyle w:val="NormalnyWeb"/>
        <w:spacing w:before="0" w:beforeAutospacing="0" w:after="0" w:line="276" w:lineRule="auto"/>
      </w:pPr>
    </w:p>
    <w:p w:rsidR="00F8797F" w:rsidRDefault="00F8797F" w:rsidP="00BE17C7"/>
    <w:sectPr w:rsidR="00F879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2C" w:rsidRDefault="0030592C" w:rsidP="00BE17C7">
      <w:pPr>
        <w:spacing w:after="0" w:line="240" w:lineRule="auto"/>
      </w:pPr>
      <w:r>
        <w:separator/>
      </w:r>
    </w:p>
  </w:endnote>
  <w:endnote w:type="continuationSeparator" w:id="0">
    <w:p w:rsidR="0030592C" w:rsidRDefault="0030592C" w:rsidP="00BE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2C" w:rsidRDefault="0030592C" w:rsidP="00BE17C7">
      <w:pPr>
        <w:spacing w:after="0" w:line="240" w:lineRule="auto"/>
      </w:pPr>
      <w:r>
        <w:separator/>
      </w:r>
    </w:p>
  </w:footnote>
  <w:footnote w:type="continuationSeparator" w:id="0">
    <w:p w:rsidR="0030592C" w:rsidRDefault="0030592C" w:rsidP="00BE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C7" w:rsidRDefault="00BE17C7">
    <w:pPr>
      <w:pStyle w:val="Nagwek"/>
    </w:pPr>
    <w:r w:rsidRPr="00BE17C7">
      <w:drawing>
        <wp:inline distT="0" distB="0" distL="0" distR="0" wp14:anchorId="330BF9D7" wp14:editId="6D7C82BF">
          <wp:extent cx="5760720" cy="6724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2A"/>
    <w:multiLevelType w:val="hybridMultilevel"/>
    <w:tmpl w:val="DC1CAEEA"/>
    <w:lvl w:ilvl="0" w:tplc="C866A8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791"/>
    <w:multiLevelType w:val="hybridMultilevel"/>
    <w:tmpl w:val="792C0F36"/>
    <w:lvl w:ilvl="0" w:tplc="0D42E1BA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479A5"/>
    <w:multiLevelType w:val="hybridMultilevel"/>
    <w:tmpl w:val="04D2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27D6"/>
    <w:multiLevelType w:val="hybridMultilevel"/>
    <w:tmpl w:val="B756D7BE"/>
    <w:lvl w:ilvl="0" w:tplc="0D42E1B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F41D1"/>
    <w:multiLevelType w:val="hybridMultilevel"/>
    <w:tmpl w:val="03869CBE"/>
    <w:lvl w:ilvl="0" w:tplc="410E20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6FA5"/>
    <w:multiLevelType w:val="hybridMultilevel"/>
    <w:tmpl w:val="739A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33FD8"/>
    <w:multiLevelType w:val="multilevel"/>
    <w:tmpl w:val="0EA4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A1F10"/>
    <w:multiLevelType w:val="multilevel"/>
    <w:tmpl w:val="E1F0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45BC6"/>
    <w:multiLevelType w:val="hybridMultilevel"/>
    <w:tmpl w:val="8950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ADEEE">
      <w:start w:val="3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27350"/>
    <w:multiLevelType w:val="hybridMultilevel"/>
    <w:tmpl w:val="2C14591A"/>
    <w:lvl w:ilvl="0" w:tplc="0D42E1B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C7"/>
    <w:rsid w:val="0030592C"/>
    <w:rsid w:val="00BE17C7"/>
    <w:rsid w:val="00F23190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17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C7"/>
  </w:style>
  <w:style w:type="paragraph" w:styleId="Stopka">
    <w:name w:val="footer"/>
    <w:basedOn w:val="Normalny"/>
    <w:link w:val="StopkaZnak"/>
    <w:uiPriority w:val="99"/>
    <w:unhideWhenUsed/>
    <w:rsid w:val="00BE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17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C7"/>
  </w:style>
  <w:style w:type="paragraph" w:styleId="Stopka">
    <w:name w:val="footer"/>
    <w:basedOn w:val="Normalny"/>
    <w:link w:val="StopkaZnak"/>
    <w:uiPriority w:val="99"/>
    <w:unhideWhenUsed/>
    <w:rsid w:val="00BE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Matusiak</dc:creator>
  <cp:lastModifiedBy>Justyna Matusiak</cp:lastModifiedBy>
  <cp:revision>1</cp:revision>
  <dcterms:created xsi:type="dcterms:W3CDTF">2019-09-02T12:49:00Z</dcterms:created>
  <dcterms:modified xsi:type="dcterms:W3CDTF">2019-09-02T13:01:00Z</dcterms:modified>
</cp:coreProperties>
</file>